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1"/>
        <w:tblW w:w="0" w:type="auto"/>
        <w:tblLook w:val="00A0"/>
      </w:tblPr>
      <w:tblGrid>
        <w:gridCol w:w="9355"/>
      </w:tblGrid>
      <w:tr w:rsidR="006C5A28" w:rsidRPr="00E87EE3" w:rsidTr="00FE5BE1">
        <w:tc>
          <w:tcPr>
            <w:tcW w:w="9355" w:type="dxa"/>
          </w:tcPr>
          <w:p w:rsidR="006C5A28" w:rsidRPr="00845F50" w:rsidRDefault="006C5A28" w:rsidP="00845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5A28" w:rsidRPr="00845F50" w:rsidRDefault="006C5A28" w:rsidP="00845F50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5A28" w:rsidRPr="003A0CA5" w:rsidRDefault="006C5A28" w:rsidP="003A0CA5">
            <w:pPr>
              <w:spacing w:after="0"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Додаток </w:t>
            </w:r>
          </w:p>
          <w:p w:rsidR="006C5A28" w:rsidRPr="003A0CA5" w:rsidRDefault="006C5A28" w:rsidP="003A0CA5">
            <w:pPr>
              <w:spacing w:after="0"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рішенням </w:t>
            </w:r>
          </w:p>
          <w:p w:rsidR="006C5A28" w:rsidRPr="003A0CA5" w:rsidRDefault="006C5A28" w:rsidP="003A0CA5">
            <w:pPr>
              <w:spacing w:after="0"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Баришівської селищної ради </w:t>
            </w:r>
          </w:p>
          <w:p w:rsidR="006C5A28" w:rsidRDefault="006C5A28" w:rsidP="003A0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від «___»__________2019 року №______</w:t>
            </w:r>
          </w:p>
          <w:p w:rsidR="006C5A28" w:rsidRDefault="006C5A28" w:rsidP="003A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C5A28" w:rsidRDefault="006C5A28" w:rsidP="00845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C5A28" w:rsidRDefault="006C5A28" w:rsidP="00845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C5A28" w:rsidRPr="00845F50" w:rsidRDefault="006C5A28" w:rsidP="00845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ПЕРЕДАВАЛЬНИЙ АКТ</w:t>
            </w:r>
          </w:p>
          <w:p w:rsidR="006C5A28" w:rsidRPr="00845F50" w:rsidRDefault="006C5A28" w:rsidP="00845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C5A28" w:rsidRPr="00845F50" w:rsidRDefault="006C5A28" w:rsidP="00845F50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 с. Селичівка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01.02.2019р.</w:t>
            </w:r>
          </w:p>
          <w:p w:rsidR="006C5A28" w:rsidRPr="00845F50" w:rsidRDefault="006C5A28" w:rsidP="00845F50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6C5A28" w:rsidRDefault="006C5A28" w:rsidP="0084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Ми, що нижче підписалися, голова та члени Комісії з</w:t>
            </w:r>
            <w:r w:rsidRPr="00211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реорганізації</w:t>
            </w:r>
            <w:r w:rsidRPr="00845F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Селичівської сільської ради,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створеної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розпорядженням  селищного голови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01.02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.2019 р. 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5,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складі: </w:t>
            </w:r>
          </w:p>
          <w:p w:rsidR="006C5A28" w:rsidRPr="003A0CA5" w:rsidRDefault="006C5A28" w:rsidP="003A0CA5">
            <w:pPr>
              <w:tabs>
                <w:tab w:val="left" w:pos="400"/>
              </w:tabs>
              <w:suppressAutoHyphens/>
              <w:spacing w:line="25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Голова комісії: Данчук Жанна Віталіївна (ІПН хххххххххх)– заступник Баришівського селищного голови;</w:t>
            </w:r>
          </w:p>
          <w:p w:rsidR="006C5A28" w:rsidRPr="003A0CA5" w:rsidRDefault="006C5A28" w:rsidP="003A0CA5">
            <w:pPr>
              <w:tabs>
                <w:tab w:val="left" w:pos="400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</w:t>
            </w:r>
          </w:p>
          <w:p w:rsidR="006C5A28" w:rsidRPr="003A0CA5" w:rsidRDefault="006C5A28" w:rsidP="003A0CA5">
            <w:pPr>
              <w:tabs>
                <w:tab w:val="left" w:pos="400"/>
              </w:tabs>
              <w:suppressAutoHyphens/>
              <w:spacing w:line="256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Заступник голови  комісії: Тур Надія Володимирівна  (ІПН хххххххх) – головний бухгалтер Баришівської  селищної ради;</w:t>
            </w:r>
          </w:p>
          <w:p w:rsidR="006C5A28" w:rsidRPr="003A0CA5" w:rsidRDefault="006C5A28" w:rsidP="003A0CA5">
            <w:pPr>
              <w:tabs>
                <w:tab w:val="left" w:pos="400"/>
              </w:tabs>
              <w:suppressAutoHyphens/>
              <w:spacing w:line="256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 комісії : Посєвкіна Тетяна Василівна ( ІПН хххххххххх)- начальник відділу державної реєстрації Баришівської селищної ради;</w:t>
            </w:r>
          </w:p>
          <w:p w:rsidR="006C5A28" w:rsidRPr="003A0CA5" w:rsidRDefault="006C5A28" w:rsidP="003A0CA5">
            <w:pPr>
              <w:tabs>
                <w:tab w:val="left" w:pos="400"/>
              </w:tabs>
              <w:suppressAutoHyphens/>
              <w:spacing w:line="25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 комісії: Гончар Ольга Олександрівна (ІПН ххххххххх) – державний реєстратор Баришівської селищної ради;</w:t>
            </w:r>
          </w:p>
          <w:p w:rsidR="006C5A28" w:rsidRPr="003A0CA5" w:rsidRDefault="006C5A28" w:rsidP="003A0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 комісії: Івченко Ніна Миколаївна (ІПН ххххххххх)- начальник земельного відділу Баришівської селищної ради</w:t>
            </w:r>
          </w:p>
          <w:p w:rsidR="006C5A28" w:rsidRPr="00845F50" w:rsidRDefault="006C5A28" w:rsidP="0084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      </w:r>
          </w:p>
          <w:p w:rsidR="006C5A28" w:rsidRPr="00845F50" w:rsidRDefault="006C5A28" w:rsidP="00845F50">
            <w:pPr>
              <w:numPr>
                <w:ilvl w:val="0"/>
                <w:numId w:val="1"/>
              </w:numPr>
              <w:tabs>
                <w:tab w:val="left" w:pos="840"/>
              </w:tabs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Баришівська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елищна рада (ЄДРПОУ 04360623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місцезнаходження: вул. Центральна,27, смт.Баришівка, Баришівського району, Київської області, 07501, внаслідок реорганізації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Селичівської сільської ради (ЄДРПОУ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23236892)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, місцезнаходження: вул.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Миру,14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с.Селичівка, Баришівського району, Київської області, 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525),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шляхом приєднання до Баришівської селищної ради є правонаступником майна, активів та зобов’язань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Селичівської сільської ради,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саме:  </w:t>
            </w:r>
          </w:p>
          <w:p w:rsidR="006C5A28" w:rsidRPr="00DC31A6" w:rsidRDefault="006C5A28" w:rsidP="00DC31A6">
            <w:pPr>
              <w:tabs>
                <w:tab w:val="left" w:pos="84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F5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Необоротних активів (балансова вартість)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461 423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грн., у тому числі: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основні засоби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412 016</w:t>
            </w:r>
            <w:r w:rsidRPr="00845F5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інші необоротні матеріальні активи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49 407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1.2. Виробничі запаси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1.3. Грошових коштів 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1.4. Дебіторської заборгованості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грн., у тому числі: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перед бюджетом –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 оплати праці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1.5. Кредиторської заборгованості 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грн., у тому числі:</w:t>
            </w:r>
          </w:p>
          <w:p w:rsidR="006C5A28" w:rsidRPr="00845F50" w:rsidRDefault="006C5A28" w:rsidP="00845F5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перед бюджетом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0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>грн.;</w:t>
            </w:r>
          </w:p>
          <w:p w:rsidR="006C5A28" w:rsidRPr="00845F50" w:rsidRDefault="006C5A28" w:rsidP="00DC31A6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 оплати праці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0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грн.;</w:t>
            </w:r>
          </w:p>
          <w:p w:rsidR="006C5A28" w:rsidRPr="00845F50" w:rsidRDefault="006C5A28" w:rsidP="00845F50">
            <w:pPr>
              <w:numPr>
                <w:ilvl w:val="0"/>
                <w:numId w:val="1"/>
              </w:numPr>
              <w:tabs>
                <w:tab w:val="left" w:pos="85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Разом із майном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Селичівської сільської ради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Pr="00845F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Баришівська селищна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      </w:r>
          </w:p>
          <w:p w:rsidR="006C5A28" w:rsidRPr="00845F50" w:rsidRDefault="006C5A28" w:rsidP="00CA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Додатки до передавального акту: ________ на ____ аркушах.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5A28" w:rsidRPr="00845F50" w:rsidRDefault="006C5A28" w:rsidP="00CA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45F50">
              <w:rPr>
                <w:rFonts w:ascii="Times New Roman" w:hAnsi="Times New Roman"/>
                <w:sz w:val="24"/>
                <w:szCs w:val="24"/>
                <w:lang w:eastAsia="ru-RU"/>
              </w:rPr>
              <w:t>Усього: _____ аркушів.</w:t>
            </w:r>
          </w:p>
          <w:p w:rsidR="006C5A28" w:rsidRPr="00845F50" w:rsidRDefault="006C5A28" w:rsidP="00845F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5A28" w:rsidRPr="00845F50" w:rsidRDefault="006C5A28" w:rsidP="0084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5A28" w:rsidRPr="003A0CA5" w:rsidRDefault="006C5A28" w:rsidP="003A0CA5">
            <w:pPr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3A0CA5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Комісія з реорганізації</w:t>
            </w: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Селичівської</w:t>
            </w:r>
            <w:r w:rsidRPr="003A0CA5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ради:</w:t>
            </w:r>
          </w:p>
          <w:p w:rsidR="006C5A28" w:rsidRPr="003A0CA5" w:rsidRDefault="006C5A28" w:rsidP="003A0CA5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6C5A28" w:rsidRPr="003A0CA5" w:rsidRDefault="006C5A28" w:rsidP="003A0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61"/>
              <w:tblW w:w="0" w:type="auto"/>
              <w:tblLook w:val="00A0"/>
            </w:tblPr>
            <w:tblGrid>
              <w:gridCol w:w="9139"/>
            </w:tblGrid>
            <w:tr w:rsidR="006C5A28" w:rsidRPr="003A0CA5" w:rsidTr="00E054A7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A28" w:rsidRPr="003A0CA5" w:rsidRDefault="006C5A28" w:rsidP="00E054A7">
                  <w:pPr>
                    <w:ind w:left="142" w:firstLine="4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2641"/>
                    <w:gridCol w:w="3298"/>
                    <w:gridCol w:w="2984"/>
                  </w:tblGrid>
                  <w:tr w:rsidR="006C5A28" w:rsidRPr="003A0CA5" w:rsidTr="00E054A7">
                    <w:tc>
                      <w:tcPr>
                        <w:tcW w:w="284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Голова комісії: </w:t>
                        </w:r>
                      </w:p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1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_________________________ (підпис)</w:t>
                        </w:r>
                      </w:p>
                    </w:tc>
                    <w:tc>
                      <w:tcPr>
                        <w:tcW w:w="3205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Ж.В. Данчук</w:t>
                        </w:r>
                      </w:p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A28" w:rsidRPr="003A0CA5" w:rsidTr="00E054A7">
                    <w:tc>
                      <w:tcPr>
                        <w:tcW w:w="284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Заступник голови комісі</w:t>
                        </w:r>
                      </w:p>
                    </w:tc>
                    <w:tc>
                      <w:tcPr>
                        <w:tcW w:w="331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05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Н.В. Тур</w:t>
                        </w:r>
                      </w:p>
                    </w:tc>
                  </w:tr>
                  <w:tr w:rsidR="006C5A28" w:rsidRPr="003A0CA5" w:rsidTr="00E054A7">
                    <w:tc>
                      <w:tcPr>
                        <w:tcW w:w="284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Член комісії: </w:t>
                        </w:r>
                      </w:p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1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_________________________ (підпис)</w:t>
                        </w:r>
                      </w:p>
                    </w:tc>
                    <w:tc>
                      <w:tcPr>
                        <w:tcW w:w="3205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Т.В. Посєвкіна</w:t>
                        </w:r>
                      </w:p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A28" w:rsidRPr="003A0CA5" w:rsidTr="00E054A7">
                    <w:tc>
                      <w:tcPr>
                        <w:tcW w:w="284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Член комісії: </w:t>
                        </w:r>
                      </w:p>
                    </w:tc>
                    <w:tc>
                      <w:tcPr>
                        <w:tcW w:w="331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_________________________ (підпис)</w:t>
                        </w:r>
                      </w:p>
                    </w:tc>
                    <w:tc>
                      <w:tcPr>
                        <w:tcW w:w="3205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О.О.Гончар</w:t>
                        </w:r>
                      </w:p>
                    </w:tc>
                  </w:tr>
                  <w:tr w:rsidR="006C5A28" w:rsidRPr="003A0CA5" w:rsidTr="00E054A7">
                    <w:tc>
                      <w:tcPr>
                        <w:tcW w:w="284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Член комісії: </w:t>
                        </w:r>
                      </w:p>
                    </w:tc>
                    <w:tc>
                      <w:tcPr>
                        <w:tcW w:w="3310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_________________________ (підпис)</w:t>
                        </w:r>
                      </w:p>
                    </w:tc>
                    <w:tc>
                      <w:tcPr>
                        <w:tcW w:w="3205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            </w:t>
                        </w: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  <w:u w:val="single"/>
                          </w:rPr>
                          <w:t>Н.М.Івченко</w:t>
                        </w:r>
                      </w:p>
                    </w:tc>
                  </w:tr>
                </w:tbl>
                <w:p w:rsidR="006C5A28" w:rsidRPr="003A0CA5" w:rsidRDefault="006C5A28" w:rsidP="00E054A7">
                  <w:pPr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6C5A28" w:rsidRPr="003A0CA5" w:rsidRDefault="006C5A28" w:rsidP="00E054A7">
                  <w:pPr>
                    <w:ind w:firstLine="60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C5A28" w:rsidRPr="003A0CA5" w:rsidRDefault="006C5A28" w:rsidP="00E054A7">
                  <w:pPr>
                    <w:spacing w:line="25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0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Комісія з прийняття майна, активів та зобов’язань, у складі:</w:t>
                  </w:r>
                </w:p>
                <w:p w:rsidR="006C5A28" w:rsidRPr="003A0CA5" w:rsidRDefault="006C5A28" w:rsidP="00E054A7">
                  <w:pPr>
                    <w:spacing w:line="25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2678"/>
                    <w:gridCol w:w="3312"/>
                    <w:gridCol w:w="2933"/>
                  </w:tblGrid>
                  <w:tr w:rsidR="006C5A28" w:rsidRPr="003A0CA5" w:rsidTr="00E054A7">
                    <w:tc>
                      <w:tcPr>
                        <w:tcW w:w="3274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36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_________________________ (підпис)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6C5A28" w:rsidRPr="003A0CA5" w:rsidRDefault="006C5A28" w:rsidP="00E054A7">
                        <w:pPr>
                          <w:framePr w:hSpace="180" w:wrap="around" w:vAnchor="text" w:hAnchor="margin" w:xAlign="center" w:y="-161"/>
                          <w:spacing w:line="256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A0CA5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Масловцева О.О. (ПІБ)</w:t>
                        </w:r>
                      </w:p>
                    </w:tc>
                  </w:tr>
                </w:tbl>
                <w:p w:rsidR="006C5A28" w:rsidRPr="003A0CA5" w:rsidRDefault="006C5A28" w:rsidP="00E054A7">
                  <w:pPr>
                    <w:ind w:left="142" w:firstLine="425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</w:p>
              </w:tc>
            </w:tr>
            <w:tr w:rsidR="006C5A28" w:rsidRPr="003A0CA5" w:rsidTr="00E054A7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A28" w:rsidRPr="003A0CA5" w:rsidRDefault="006C5A28" w:rsidP="00E054A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3A0CA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                                                _________________________        Бабич Л.М. (ПІБ)</w:t>
                  </w:r>
                </w:p>
                <w:p w:rsidR="006C5A28" w:rsidRPr="003A0CA5" w:rsidRDefault="006C5A28" w:rsidP="00E054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CA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                                                                  (підпис)</w:t>
                  </w:r>
                </w:p>
              </w:tc>
            </w:tr>
            <w:tr w:rsidR="006C5A28" w:rsidRPr="003A0CA5" w:rsidTr="00E054A7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A28" w:rsidRPr="003A0CA5" w:rsidRDefault="006C5A28" w:rsidP="00E054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5A28" w:rsidRPr="003A0CA5" w:rsidRDefault="006C5A28" w:rsidP="003A0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A28" w:rsidRPr="000233FC" w:rsidRDefault="006C5A28" w:rsidP="003A0CA5">
            <w:pPr>
              <w:rPr>
                <w:sz w:val="28"/>
                <w:szCs w:val="28"/>
              </w:rPr>
            </w:pPr>
          </w:p>
          <w:p w:rsidR="006C5A28" w:rsidRPr="00845F50" w:rsidRDefault="006C5A28" w:rsidP="00845F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C5A28" w:rsidRPr="00E87EE3" w:rsidTr="00FE5BE1">
        <w:tc>
          <w:tcPr>
            <w:tcW w:w="9355" w:type="dxa"/>
          </w:tcPr>
          <w:p w:rsidR="006C5A28" w:rsidRPr="00845F50" w:rsidRDefault="006C5A28" w:rsidP="0084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5A28" w:rsidRDefault="006C5A28"/>
    <w:sectPr w:rsidR="006C5A28" w:rsidSect="00DC31A6">
      <w:pgSz w:w="11906" w:h="16838"/>
      <w:pgMar w:top="284" w:right="28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49"/>
    <w:rsid w:val="000233FC"/>
    <w:rsid w:val="00033303"/>
    <w:rsid w:val="00077140"/>
    <w:rsid w:val="000F4EAC"/>
    <w:rsid w:val="002117C4"/>
    <w:rsid w:val="003A0CA5"/>
    <w:rsid w:val="006877C0"/>
    <w:rsid w:val="006C5A28"/>
    <w:rsid w:val="006E2956"/>
    <w:rsid w:val="00845F50"/>
    <w:rsid w:val="0086408C"/>
    <w:rsid w:val="008931A0"/>
    <w:rsid w:val="008D0259"/>
    <w:rsid w:val="00A4404B"/>
    <w:rsid w:val="00AD597D"/>
    <w:rsid w:val="00CA1A98"/>
    <w:rsid w:val="00DC31A6"/>
    <w:rsid w:val="00E054A7"/>
    <w:rsid w:val="00E87EE3"/>
    <w:rsid w:val="00EF0B49"/>
    <w:rsid w:val="00FC2250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4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477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2019-02-01T09:06:00Z</cp:lastPrinted>
  <dcterms:created xsi:type="dcterms:W3CDTF">2019-01-28T14:58:00Z</dcterms:created>
  <dcterms:modified xsi:type="dcterms:W3CDTF">2019-05-10T10:37:00Z</dcterms:modified>
</cp:coreProperties>
</file>